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300794" w:rsidRDefault="006544C4" w:rsidP="00300794">
      <w:pPr>
        <w:jc w:val="center"/>
        <w:rPr>
          <w:lang w:val="fr-FR"/>
        </w:rPr>
      </w:pPr>
      <w:bookmarkStart w:id="0" w:name="_GoBack"/>
      <w:bookmarkEnd w:id="0"/>
    </w:p>
    <w:p w:rsidR="0094178F" w:rsidRPr="00300794" w:rsidRDefault="0094178F" w:rsidP="00300794">
      <w:pPr>
        <w:jc w:val="center"/>
        <w:rPr>
          <w:sz w:val="4"/>
          <w:szCs w:val="4"/>
          <w:lang w:val="fr-FR"/>
        </w:rPr>
      </w:pPr>
    </w:p>
    <w:p w:rsidR="006544C4" w:rsidRPr="00300794" w:rsidRDefault="00701BAA" w:rsidP="00300794">
      <w:pPr>
        <w:pStyle w:val="DecHTitle"/>
        <w:rPr>
          <w:lang w:val="fr-FR"/>
        </w:rPr>
      </w:pPr>
      <w:r w:rsidRPr="00300794">
        <w:rPr>
          <w:szCs w:val="24"/>
          <w:lang w:val="fr-FR"/>
        </w:rPr>
        <w:t>PREMIÈRE SECTION</w:t>
      </w:r>
    </w:p>
    <w:p w:rsidR="006544C4" w:rsidRPr="00300794" w:rsidRDefault="006544C4" w:rsidP="00300794">
      <w:pPr>
        <w:pStyle w:val="DecHTitle"/>
        <w:rPr>
          <w:caps/>
          <w:sz w:val="32"/>
          <w:lang w:val="fr-FR"/>
        </w:rPr>
      </w:pPr>
      <w:r w:rsidRPr="00300794">
        <w:rPr>
          <w:lang w:val="fr-FR"/>
        </w:rPr>
        <w:t>DÉCISION</w:t>
      </w:r>
    </w:p>
    <w:p w:rsidR="006544C4" w:rsidRPr="00300794" w:rsidRDefault="00701BAA" w:rsidP="00300794">
      <w:pPr>
        <w:pStyle w:val="ECHRTitleCentre2"/>
        <w:rPr>
          <w:lang w:val="fr-FR"/>
        </w:rPr>
      </w:pPr>
      <w:r w:rsidRPr="00300794">
        <w:rPr>
          <w:lang w:val="fr-FR"/>
        </w:rPr>
        <w:t>Requête n</w:t>
      </w:r>
      <w:r w:rsidRPr="00300794">
        <w:rPr>
          <w:vertAlign w:val="superscript"/>
          <w:lang w:val="fr-FR"/>
        </w:rPr>
        <w:t>o</w:t>
      </w:r>
      <w:r w:rsidR="006544C4" w:rsidRPr="00300794">
        <w:rPr>
          <w:lang w:val="fr-FR"/>
        </w:rPr>
        <w:t xml:space="preserve"> </w:t>
      </w:r>
      <w:r w:rsidRPr="00300794">
        <w:rPr>
          <w:lang w:val="fr-FR"/>
        </w:rPr>
        <w:t>35299/12</w:t>
      </w:r>
      <w:r w:rsidR="006544C4" w:rsidRPr="00300794">
        <w:rPr>
          <w:lang w:val="fr-FR"/>
        </w:rPr>
        <w:br/>
      </w:r>
      <w:r w:rsidRPr="00300794">
        <w:rPr>
          <w:lang w:val="fr-FR"/>
        </w:rPr>
        <w:t>Salvatore POLIZIA</w:t>
      </w:r>
      <w:r w:rsidRPr="00300794">
        <w:rPr>
          <w:lang w:val="fr-FR"/>
        </w:rPr>
        <w:br/>
      </w:r>
      <w:r w:rsidR="006544C4" w:rsidRPr="00300794">
        <w:rPr>
          <w:lang w:val="fr-FR"/>
        </w:rPr>
        <w:t xml:space="preserve">contre </w:t>
      </w:r>
      <w:r w:rsidRPr="00300794">
        <w:rPr>
          <w:lang w:val="fr-FR"/>
        </w:rPr>
        <w:t>l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Italie</w:t>
      </w:r>
    </w:p>
    <w:p w:rsidR="00701BAA" w:rsidRPr="00300794" w:rsidRDefault="00701BAA" w:rsidP="00300794">
      <w:pPr>
        <w:pStyle w:val="ECHRPara"/>
        <w:rPr>
          <w:lang w:val="fr-FR"/>
        </w:rPr>
      </w:pPr>
      <w:r w:rsidRPr="00300794">
        <w:rPr>
          <w:lang w:val="fr-FR"/>
        </w:rPr>
        <w:t>La Cour européenne des droits de l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homme (première section), siégeant le 7 mars 2017 en un comité composé de :</w:t>
      </w:r>
    </w:p>
    <w:p w:rsidR="00701BAA" w:rsidRPr="00300794" w:rsidRDefault="00701BAA" w:rsidP="00300794">
      <w:pPr>
        <w:pStyle w:val="ECHRDecisionBody"/>
        <w:rPr>
          <w:lang w:val="fr-FR"/>
        </w:rPr>
      </w:pPr>
      <w:r w:rsidRPr="00300794">
        <w:rPr>
          <w:lang w:val="fr-FR"/>
        </w:rPr>
        <w:tab/>
      </w:r>
      <w:proofErr w:type="spellStart"/>
      <w:r w:rsidRPr="00300794">
        <w:rPr>
          <w:lang w:val="fr-FR"/>
        </w:rPr>
        <w:t>Ledi</w:t>
      </w:r>
      <w:proofErr w:type="spellEnd"/>
      <w:r w:rsidRPr="00300794">
        <w:rPr>
          <w:lang w:val="fr-FR"/>
        </w:rPr>
        <w:t xml:space="preserve"> </w:t>
      </w:r>
      <w:proofErr w:type="spellStart"/>
      <w:r w:rsidRPr="00300794">
        <w:rPr>
          <w:lang w:val="fr-FR"/>
        </w:rPr>
        <w:t>Bianku</w:t>
      </w:r>
      <w:proofErr w:type="spellEnd"/>
      <w:r w:rsidRPr="00300794">
        <w:rPr>
          <w:lang w:val="fr-FR"/>
        </w:rPr>
        <w:t>,</w:t>
      </w:r>
      <w:r w:rsidRPr="00300794">
        <w:rPr>
          <w:i/>
          <w:lang w:val="fr-FR"/>
        </w:rPr>
        <w:t xml:space="preserve"> président,</w:t>
      </w:r>
      <w:r w:rsidRPr="00300794">
        <w:rPr>
          <w:i/>
          <w:lang w:val="fr-FR"/>
        </w:rPr>
        <w:br/>
      </w:r>
      <w:r w:rsidRPr="00300794">
        <w:rPr>
          <w:lang w:val="fr-FR"/>
        </w:rPr>
        <w:tab/>
      </w:r>
      <w:proofErr w:type="spellStart"/>
      <w:r w:rsidRPr="00300794">
        <w:rPr>
          <w:lang w:val="fr-FR"/>
        </w:rPr>
        <w:t>Aleš</w:t>
      </w:r>
      <w:proofErr w:type="spellEnd"/>
      <w:r w:rsidRPr="00300794">
        <w:rPr>
          <w:lang w:val="fr-FR"/>
        </w:rPr>
        <w:t xml:space="preserve"> </w:t>
      </w:r>
      <w:proofErr w:type="spellStart"/>
      <w:r w:rsidRPr="00300794">
        <w:rPr>
          <w:lang w:val="fr-FR"/>
        </w:rPr>
        <w:t>Pejchal</w:t>
      </w:r>
      <w:proofErr w:type="spellEnd"/>
      <w:r w:rsidRPr="00300794">
        <w:rPr>
          <w:lang w:val="fr-FR"/>
        </w:rPr>
        <w:t>,</w:t>
      </w:r>
      <w:r w:rsidRPr="00300794">
        <w:rPr>
          <w:i/>
          <w:lang w:val="fr-FR"/>
        </w:rPr>
        <w:br/>
      </w:r>
      <w:r w:rsidRPr="00300794">
        <w:rPr>
          <w:lang w:val="fr-FR"/>
        </w:rPr>
        <w:tab/>
        <w:t xml:space="preserve">Jovan </w:t>
      </w:r>
      <w:proofErr w:type="spellStart"/>
      <w:r w:rsidRPr="00300794">
        <w:rPr>
          <w:lang w:val="fr-FR"/>
        </w:rPr>
        <w:t>Ilievski</w:t>
      </w:r>
      <w:proofErr w:type="spellEnd"/>
      <w:r w:rsidRPr="00300794">
        <w:rPr>
          <w:lang w:val="fr-FR"/>
        </w:rPr>
        <w:t>,</w:t>
      </w:r>
      <w:r w:rsidRPr="00300794">
        <w:rPr>
          <w:i/>
          <w:lang w:val="fr-FR"/>
        </w:rPr>
        <w:t xml:space="preserve"> juges</w:t>
      </w:r>
      <w:proofErr w:type="gramStart"/>
      <w:r w:rsidRPr="00300794">
        <w:rPr>
          <w:i/>
          <w:lang w:val="fr-FR"/>
        </w:rPr>
        <w:t>,</w:t>
      </w:r>
      <w:proofErr w:type="gramEnd"/>
      <w:r w:rsidRPr="00300794">
        <w:rPr>
          <w:i/>
          <w:lang w:val="fr-FR"/>
        </w:rPr>
        <w:br/>
      </w:r>
      <w:r w:rsidRPr="00300794">
        <w:rPr>
          <w:lang w:val="fr-FR"/>
        </w:rPr>
        <w:t xml:space="preserve">et de </w:t>
      </w:r>
      <w:r w:rsidRPr="00300794">
        <w:rPr>
          <w:szCs w:val="24"/>
          <w:lang w:val="fr-FR"/>
        </w:rPr>
        <w:t>Renata Degener</w:t>
      </w:r>
      <w:r w:rsidRPr="00300794">
        <w:rPr>
          <w:lang w:val="fr-FR"/>
        </w:rPr>
        <w:t xml:space="preserve">, </w:t>
      </w:r>
      <w:r w:rsidR="00F8221E" w:rsidRPr="00300794">
        <w:rPr>
          <w:i/>
          <w:szCs w:val="24"/>
          <w:lang w:val="fr-FR"/>
        </w:rPr>
        <w:t>g</w:t>
      </w:r>
      <w:r w:rsidRPr="00300794">
        <w:rPr>
          <w:i/>
          <w:szCs w:val="24"/>
          <w:lang w:val="fr-FR"/>
        </w:rPr>
        <w:t>reffière adjointe</w:t>
      </w:r>
      <w:r w:rsidRPr="00300794">
        <w:rPr>
          <w:i/>
          <w:iCs/>
          <w:lang w:val="fr-FR"/>
        </w:rPr>
        <w:t xml:space="preserve"> d</w:t>
      </w:r>
      <w:r w:rsidRPr="00300794">
        <w:rPr>
          <w:i/>
          <w:lang w:val="fr-FR"/>
        </w:rPr>
        <w:t>e section,</w:t>
      </w:r>
    </w:p>
    <w:p w:rsidR="00701BAA" w:rsidRPr="00300794" w:rsidRDefault="00701BAA" w:rsidP="00300794">
      <w:pPr>
        <w:pStyle w:val="ECHRPara"/>
        <w:rPr>
          <w:lang w:val="fr-FR"/>
        </w:rPr>
      </w:pPr>
      <w:r w:rsidRPr="00300794">
        <w:rPr>
          <w:lang w:val="fr-FR"/>
        </w:rPr>
        <w:t>Vu la requête susmentionnée introduite le 15 mai 2012,</w:t>
      </w:r>
    </w:p>
    <w:p w:rsidR="00701BAA" w:rsidRPr="00300794" w:rsidRDefault="00701BAA" w:rsidP="00300794">
      <w:pPr>
        <w:pStyle w:val="ECHRPara"/>
        <w:rPr>
          <w:lang w:val="fr-FR"/>
        </w:rPr>
      </w:pPr>
      <w:r w:rsidRPr="00300794">
        <w:rPr>
          <w:lang w:val="fr-FR"/>
        </w:rPr>
        <w:t>Vu les déclarations formelles d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acceptation d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un règlement amiable de l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affaire,</w:t>
      </w:r>
    </w:p>
    <w:p w:rsidR="00701BAA" w:rsidRPr="00300794" w:rsidRDefault="00701BAA" w:rsidP="00300794">
      <w:pPr>
        <w:pStyle w:val="ECHRPara"/>
        <w:rPr>
          <w:lang w:val="fr-FR"/>
        </w:rPr>
      </w:pPr>
      <w:r w:rsidRPr="00300794">
        <w:rPr>
          <w:lang w:val="fr-FR"/>
        </w:rPr>
        <w:t>Après en avoir délibéré, rend la décision suivante :</w:t>
      </w:r>
    </w:p>
    <w:p w:rsidR="00701BAA" w:rsidRPr="00300794" w:rsidRDefault="00701BAA" w:rsidP="00300794">
      <w:pPr>
        <w:pStyle w:val="ECHRTitle1"/>
        <w:rPr>
          <w:lang w:val="fr-FR"/>
        </w:rPr>
      </w:pPr>
      <w:r w:rsidRPr="00300794">
        <w:rPr>
          <w:lang w:val="fr-FR"/>
        </w:rPr>
        <w:t>FAITS ET PROCÉDURE</w:t>
      </w:r>
    </w:p>
    <w:p w:rsidR="00701BAA" w:rsidRPr="00300794" w:rsidRDefault="00701BAA" w:rsidP="00300794">
      <w:pPr>
        <w:pStyle w:val="ECHRPara"/>
        <w:rPr>
          <w:lang w:val="fr-FR"/>
        </w:rPr>
      </w:pPr>
      <w:r w:rsidRPr="00300794">
        <w:rPr>
          <w:lang w:val="fr-FR"/>
        </w:rPr>
        <w:t xml:space="preserve">Le requérant, M. Salvatore </w:t>
      </w:r>
      <w:proofErr w:type="spellStart"/>
      <w:r w:rsidRPr="00300794">
        <w:rPr>
          <w:lang w:val="fr-FR"/>
        </w:rPr>
        <w:t>Polizia</w:t>
      </w:r>
      <w:proofErr w:type="spellEnd"/>
      <w:r w:rsidRPr="00300794">
        <w:rPr>
          <w:lang w:val="fr-FR"/>
        </w:rPr>
        <w:t>, est un ressortissant italien né en 1964 et résidant à Bénévent. Il a été représenté devant la Cour par M</w:t>
      </w:r>
      <w:r w:rsidRPr="00300794">
        <w:rPr>
          <w:vertAlign w:val="superscript"/>
          <w:lang w:val="fr-FR"/>
        </w:rPr>
        <w:t>e</w:t>
      </w:r>
      <w:r w:rsidRPr="00300794">
        <w:rPr>
          <w:lang w:val="fr-FR"/>
        </w:rPr>
        <w:t xml:space="preserve"> V. </w:t>
      </w:r>
      <w:proofErr w:type="spellStart"/>
      <w:r w:rsidRPr="00300794">
        <w:rPr>
          <w:lang w:val="fr-FR"/>
        </w:rPr>
        <w:t>Sguera</w:t>
      </w:r>
      <w:proofErr w:type="spellEnd"/>
      <w:r w:rsidRPr="00300794">
        <w:rPr>
          <w:lang w:val="fr-FR"/>
        </w:rPr>
        <w:t>, avocat à Bénévent.</w:t>
      </w:r>
    </w:p>
    <w:p w:rsidR="00701BAA" w:rsidRPr="00300794" w:rsidRDefault="00701BAA" w:rsidP="00300794">
      <w:pPr>
        <w:pStyle w:val="ECHRPara"/>
        <w:rPr>
          <w:rFonts w:eastAsiaTheme="minorHAnsi"/>
          <w:lang w:val="fr-FR"/>
        </w:rPr>
      </w:pPr>
      <w:r w:rsidRPr="00300794">
        <w:rPr>
          <w:rFonts w:eastAsiaTheme="minorHAnsi"/>
          <w:lang w:val="fr-FR"/>
        </w:rPr>
        <w:t>Le gouvernement italien (« le Gouvernement ») a été représenté par son agent, M</w:t>
      </w:r>
      <w:r w:rsidRPr="00300794">
        <w:rPr>
          <w:rFonts w:eastAsiaTheme="minorHAnsi"/>
          <w:vertAlign w:val="superscript"/>
          <w:lang w:val="fr-FR"/>
        </w:rPr>
        <w:t>me</w:t>
      </w:r>
      <w:r w:rsidRPr="00300794">
        <w:rPr>
          <w:rFonts w:eastAsiaTheme="minorHAnsi"/>
          <w:lang w:val="fr-FR"/>
        </w:rPr>
        <w:t xml:space="preserve"> E. Spatafora.</w:t>
      </w:r>
    </w:p>
    <w:p w:rsidR="00701BAA" w:rsidRPr="00300794" w:rsidRDefault="00701BAA" w:rsidP="00300794">
      <w:pPr>
        <w:pStyle w:val="ECHRPara"/>
        <w:rPr>
          <w:rFonts w:eastAsiaTheme="minorHAnsi"/>
          <w:lang w:val="fr-FR"/>
        </w:rPr>
      </w:pPr>
      <w:r w:rsidRPr="00300794">
        <w:rPr>
          <w:rFonts w:eastAsiaTheme="minorHAnsi"/>
          <w:lang w:val="fr-FR"/>
        </w:rPr>
        <w:t>Invoquant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article 6 § 1 de la Convention, le requérant se plaignait du manque de publicité de la procédure devant les juridictions compétentes.</w:t>
      </w:r>
    </w:p>
    <w:p w:rsidR="00701BAA" w:rsidRPr="00300794" w:rsidRDefault="00701BAA" w:rsidP="00300794">
      <w:pPr>
        <w:pStyle w:val="ECHRPara"/>
        <w:rPr>
          <w:rFonts w:eastAsiaTheme="minorHAnsi"/>
          <w:lang w:val="fr-FR"/>
        </w:rPr>
      </w:pPr>
      <w:r w:rsidRPr="00300794">
        <w:rPr>
          <w:rFonts w:eastAsiaTheme="minorHAnsi"/>
          <w:lang w:val="fr-FR"/>
        </w:rPr>
        <w:t>Les 23 novembre 2016 et 20 janvier 2017, la Cour a reçu des déclarations de règlement amiable signées par les parties. Par ces déclarations, le Gouvernement s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est engagé à verser au requérant la somme de 600 EUR (six cents euros) et le requérant a renoncé à toute autre prétention à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encontre de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Italie à propos des faits à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 xml:space="preserve">origine de sa requête. Ladite somme, qui couvrira tout préjudice matériel et moral ainsi que les frais et dépens, sera versée dans les trois mois suivant la date de la </w:t>
      </w:r>
      <w:r w:rsidRPr="00300794">
        <w:rPr>
          <w:rFonts w:eastAsiaTheme="minorHAnsi"/>
          <w:lang w:val="fr-FR"/>
        </w:rPr>
        <w:lastRenderedPageBreak/>
        <w:t>notification de la décision de la Cour. À défaut de règlement dans ledit délai, le Gouvernement s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engage à verser, à compter de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expiration de celui-ci et jusqu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affaire.</w:t>
      </w:r>
    </w:p>
    <w:p w:rsidR="00701BAA" w:rsidRPr="00300794" w:rsidRDefault="00701BAA" w:rsidP="00300794">
      <w:pPr>
        <w:pStyle w:val="ECHRTitle1"/>
        <w:rPr>
          <w:lang w:val="fr-FR"/>
        </w:rPr>
      </w:pPr>
      <w:r w:rsidRPr="00300794">
        <w:rPr>
          <w:lang w:val="fr-FR"/>
        </w:rPr>
        <w:t>EN DROIT</w:t>
      </w:r>
    </w:p>
    <w:p w:rsidR="00701BAA" w:rsidRPr="00300794" w:rsidRDefault="00701BAA" w:rsidP="00300794">
      <w:pPr>
        <w:pStyle w:val="ECHRPara"/>
        <w:rPr>
          <w:rFonts w:eastAsiaTheme="minorHAnsi"/>
          <w:lang w:val="fr-FR"/>
        </w:rPr>
      </w:pPr>
      <w:r w:rsidRPr="00300794">
        <w:rPr>
          <w:rFonts w:eastAsiaTheme="minorHAnsi"/>
          <w:lang w:val="fr-FR"/>
        </w:rPr>
        <w:t>La Cour prend acte du règlement amiable auquel sont parvenues les parties. Elle estime que celui-ci s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inspire du respect des droits de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homme tels que les reconnaissent la Convention et ses protocoles et n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aperçoit par ailleurs aucun motif justifiant de poursuivre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examen de la requête. En conséquence, il convient de rayer l</w:t>
      </w:r>
      <w:r w:rsidR="00300794" w:rsidRPr="00300794">
        <w:rPr>
          <w:rFonts w:eastAsiaTheme="minorHAnsi"/>
          <w:lang w:val="fr-FR"/>
        </w:rPr>
        <w:t>’</w:t>
      </w:r>
      <w:r w:rsidRPr="00300794">
        <w:rPr>
          <w:rFonts w:eastAsiaTheme="minorHAnsi"/>
          <w:lang w:val="fr-FR"/>
        </w:rPr>
        <w:t>affaire du rôle.</w:t>
      </w:r>
    </w:p>
    <w:p w:rsidR="00701BAA" w:rsidRPr="00300794" w:rsidRDefault="00701BAA" w:rsidP="00300794">
      <w:pPr>
        <w:pStyle w:val="JuParaLast"/>
        <w:rPr>
          <w:i/>
          <w:lang w:val="fr-FR"/>
        </w:rPr>
      </w:pPr>
      <w:r w:rsidRPr="00300794">
        <w:rPr>
          <w:lang w:val="fr-FR"/>
        </w:rPr>
        <w:t>Par ces motifs, la Cour,</w:t>
      </w:r>
      <w:r w:rsidRPr="00300794">
        <w:rPr>
          <w:color w:val="000000"/>
          <w:lang w:val="fr-FR"/>
        </w:rPr>
        <w:t xml:space="preserve"> </w:t>
      </w:r>
      <w:r w:rsidRPr="00300794">
        <w:rPr>
          <w:lang w:val="fr-FR"/>
        </w:rPr>
        <w:t>à l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unanimité,</w:t>
      </w:r>
    </w:p>
    <w:p w:rsidR="00701BAA" w:rsidRPr="00300794" w:rsidRDefault="00701BAA" w:rsidP="00300794">
      <w:pPr>
        <w:pStyle w:val="DecList"/>
        <w:keepNext/>
        <w:keepLines/>
        <w:rPr>
          <w:lang w:val="fr-FR"/>
        </w:rPr>
      </w:pPr>
      <w:r w:rsidRPr="00300794">
        <w:rPr>
          <w:i/>
          <w:lang w:val="fr-FR"/>
        </w:rPr>
        <w:t>Décide</w:t>
      </w:r>
      <w:r w:rsidRPr="00300794">
        <w:rPr>
          <w:lang w:val="fr-FR"/>
        </w:rPr>
        <w:t xml:space="preserve"> de rayer la requête du rôle en application de l</w:t>
      </w:r>
      <w:r w:rsidR="00300794" w:rsidRPr="00300794">
        <w:rPr>
          <w:lang w:val="fr-FR"/>
        </w:rPr>
        <w:t>’</w:t>
      </w:r>
      <w:r w:rsidRPr="00300794">
        <w:rPr>
          <w:lang w:val="fr-FR"/>
        </w:rPr>
        <w:t>article 39 de la Convention.</w:t>
      </w:r>
    </w:p>
    <w:p w:rsidR="006544C4" w:rsidRPr="00300794" w:rsidRDefault="006544C4" w:rsidP="00300794">
      <w:pPr>
        <w:pStyle w:val="ECHRPara"/>
        <w:rPr>
          <w:sz w:val="2"/>
          <w:szCs w:val="2"/>
          <w:lang w:val="fr-FR" w:eastAsia="en-GB"/>
        </w:rPr>
      </w:pPr>
    </w:p>
    <w:p w:rsidR="00050A32" w:rsidRPr="00300794" w:rsidRDefault="00F40988" w:rsidP="00300794">
      <w:pPr>
        <w:pStyle w:val="JuParaLast"/>
        <w:rPr>
          <w:lang w:val="fr-FR"/>
        </w:rPr>
      </w:pPr>
      <w:r w:rsidRPr="00300794">
        <w:rPr>
          <w:szCs w:val="24"/>
          <w:lang w:val="fr-FR"/>
        </w:rPr>
        <w:t xml:space="preserve">Fait en français puis communiqué par écrit le </w:t>
      </w:r>
      <w:r w:rsidR="00701BAA" w:rsidRPr="00300794">
        <w:rPr>
          <w:szCs w:val="24"/>
          <w:lang w:val="fr-FR"/>
        </w:rPr>
        <w:t>30 mars 2017</w:t>
      </w:r>
      <w:r w:rsidRPr="00300794">
        <w:rPr>
          <w:lang w:val="fr-FR"/>
        </w:rPr>
        <w:t>.</w:t>
      </w:r>
    </w:p>
    <w:p w:rsidR="00234E8A" w:rsidRPr="00300794" w:rsidRDefault="00701BAA" w:rsidP="00300794">
      <w:pPr>
        <w:pStyle w:val="JuSigned"/>
        <w:tabs>
          <w:tab w:val="clear" w:pos="6407"/>
          <w:tab w:val="center" w:pos="6663"/>
        </w:tabs>
        <w:rPr>
          <w:lang w:val="fr-FR"/>
        </w:rPr>
      </w:pPr>
      <w:r w:rsidRPr="00300794">
        <w:rPr>
          <w:lang w:val="fr-FR"/>
        </w:rPr>
        <w:tab/>
        <w:t xml:space="preserve">Renata </w:t>
      </w:r>
      <w:proofErr w:type="spellStart"/>
      <w:r w:rsidRPr="00300794">
        <w:rPr>
          <w:lang w:val="fr-FR"/>
        </w:rPr>
        <w:t>Degener</w:t>
      </w:r>
      <w:proofErr w:type="spellEnd"/>
      <w:r w:rsidRPr="00300794">
        <w:rPr>
          <w:lang w:val="fr-FR"/>
        </w:rPr>
        <w:tab/>
      </w:r>
      <w:proofErr w:type="spellStart"/>
      <w:r w:rsidRPr="00300794">
        <w:rPr>
          <w:lang w:val="fr-FR"/>
        </w:rPr>
        <w:t>Ledi</w:t>
      </w:r>
      <w:proofErr w:type="spellEnd"/>
      <w:r w:rsidRPr="00300794">
        <w:rPr>
          <w:lang w:val="fr-FR"/>
        </w:rPr>
        <w:t xml:space="preserve"> </w:t>
      </w:r>
      <w:proofErr w:type="spellStart"/>
      <w:r w:rsidRPr="00300794">
        <w:rPr>
          <w:lang w:val="fr-FR"/>
        </w:rPr>
        <w:t>Bianku</w:t>
      </w:r>
      <w:proofErr w:type="spellEnd"/>
      <w:r w:rsidR="00300794" w:rsidRPr="00300794">
        <w:rPr>
          <w:lang w:val="fr-FR"/>
        </w:rPr>
        <w:br/>
      </w:r>
      <w:r w:rsidRPr="00300794">
        <w:rPr>
          <w:lang w:val="fr-FR"/>
        </w:rPr>
        <w:t>Greffière adjointe</w:t>
      </w:r>
      <w:r w:rsidRPr="00300794">
        <w:rPr>
          <w:lang w:val="fr-FR"/>
        </w:rPr>
        <w:tab/>
        <w:t>Président</w:t>
      </w:r>
    </w:p>
    <w:sectPr w:rsidR="00234E8A" w:rsidRPr="0030079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A8" w:rsidRPr="007A6280" w:rsidRDefault="00993BA8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993BA8" w:rsidRPr="007A6280" w:rsidRDefault="00993BA8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A" w:rsidRPr="00150BFA" w:rsidRDefault="00701BA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E813348" wp14:editId="3D9950C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93BA8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A8" w:rsidRPr="007A6280" w:rsidRDefault="00993BA8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993BA8" w:rsidRPr="007A6280" w:rsidRDefault="00993BA8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701BAA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95045F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POLIZIA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701BAA">
      <w:rPr>
        <w:lang w:val="en-GB"/>
      </w:rPr>
      <w:t>POLIZIA c. ITALIE</w:t>
    </w:r>
    <w:r w:rsidRPr="008B0BD9">
      <w:rPr>
        <w:lang w:val="en-GB"/>
      </w:rPr>
      <w:tab/>
    </w:r>
    <w:r w:rsidR="00701BAA">
      <w:rPr>
        <w:rStyle w:val="Numeropagina"/>
        <w:lang w:val="en-GB"/>
      </w:rPr>
      <w:fldChar w:fldCharType="begin"/>
    </w:r>
    <w:r w:rsidR="00701BAA">
      <w:rPr>
        <w:rStyle w:val="Numeropagina"/>
        <w:lang w:val="en-GB"/>
      </w:rPr>
      <w:instrText xml:space="preserve"> PAGE </w:instrText>
    </w:r>
    <w:r w:rsidR="00701BAA">
      <w:rPr>
        <w:rStyle w:val="Numeropagina"/>
        <w:lang w:val="en-GB"/>
      </w:rPr>
      <w:fldChar w:fldCharType="separate"/>
    </w:r>
    <w:r w:rsidR="00701BAA">
      <w:rPr>
        <w:rStyle w:val="Numeropagina"/>
        <w:noProof/>
        <w:lang w:val="en-GB"/>
      </w:rPr>
      <w:t>4</w:t>
    </w:r>
    <w:r w:rsidR="00701BAA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A" w:rsidRPr="00A45145" w:rsidRDefault="00701BA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4A19CBA" wp14:editId="17065A9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93BA8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701BA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76F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0794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0F3D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1BAA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045F"/>
    <w:rsid w:val="00951D7D"/>
    <w:rsid w:val="009630C7"/>
    <w:rsid w:val="00972B55"/>
    <w:rsid w:val="009743B7"/>
    <w:rsid w:val="00977DA8"/>
    <w:rsid w:val="0098228B"/>
    <w:rsid w:val="009828DA"/>
    <w:rsid w:val="00985BAB"/>
    <w:rsid w:val="00993BA8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E6D36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221E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E8F5-D69B-4C88-AAE7-087335782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EBC1F-1D4F-4BC1-9497-7BEAE7918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EB352-DA1B-4511-8871-73B618A77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25D28-1B4A-4DA1-8B9E-0CA73D5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2017-04-04T12:58:00Z</dcterms:created>
  <dcterms:modified xsi:type="dcterms:W3CDTF">2017-04-04T12:58:00Z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